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="269" w:lineRule="auto"/>
        <w:jc w:val="center"/>
        <w:rPr>
          <w:rFonts w:ascii="Titillium Web" w:cs="Titillium Web" w:eastAsia="Titillium Web" w:hAnsi="Titillium Web"/>
          <w:b w:val="1"/>
          <w:bCs w:val="1"/>
          <w:color w:val="741b47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="269" w:lineRule="auto"/>
        <w:jc w:val="center"/>
        <w:rPr>
          <w:rFonts w:ascii="Titillium Web" w:cs="Titillium Web" w:eastAsia="Titillium Web" w:hAnsi="Titillium Web"/>
          <w:b w:val="1"/>
          <w:bCs w:val="1"/>
          <w:color w:val="741b47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0" w:line="269" w:lineRule="auto"/>
        <w:jc w:val="center"/>
        <w:rPr>
          <w:rFonts w:ascii="Titillium Web" w:cs="Titillium Web" w:eastAsia="Titillium Web" w:hAnsi="Titillium Web"/>
          <w:b w:val="1"/>
          <w:bCs w:val="1"/>
          <w:color w:val="741b47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0" w:line="269" w:lineRule="auto"/>
        <w:jc w:val="center"/>
        <w:rPr>
          <w:rFonts w:ascii="Titillium Web" w:cs="Titillium Web" w:eastAsia="Titillium Web" w:hAnsi="Titillium Web"/>
          <w:b w:val="1"/>
          <w:bCs w:val="1"/>
          <w:color w:val="741b47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before="0" w:line="269" w:lineRule="auto"/>
        <w:jc w:val="center"/>
        <w:rPr>
          <w:rFonts w:ascii="Titillium Web" w:cs="Titillium Web" w:eastAsia="Titillium Web" w:hAnsi="Titillium Web"/>
          <w:b w:val="1"/>
          <w:bCs w:val="1"/>
          <w:color w:val="741b47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before="0" w:line="269" w:lineRule="auto"/>
        <w:jc w:val="center"/>
        <w:rPr>
          <w:rFonts w:ascii="Titillium Web" w:cs="Titillium Web" w:eastAsia="Titillium Web" w:hAnsi="Titillium Web"/>
          <w:color w:val="741b47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741b47"/>
          <w:sz w:val="30"/>
          <w:szCs w:val="30"/>
          <w:rtl w:val="0"/>
        </w:rPr>
        <w:t xml:space="preserve">UNITÀ DI APPRENDIMENTO (UdA) DI EDUCAZIONE CIVICA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0" w:line="269" w:lineRule="auto"/>
        <w:jc w:val="center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ANNO SCOLASTICO</w:t>
      </w:r>
      <w:r w:rsidDel="00000000" w:rsidR="00000000" w:rsidRPr="00000000">
        <w:rPr>
          <w:rFonts w:ascii="Titillium Web" w:cs="Titillium Web" w:eastAsia="Titillium Web" w:hAnsi="Titillium Web"/>
          <w:b w:val="1"/>
          <w:bCs w:val="1"/>
          <w:sz w:val="21"/>
          <w:szCs w:val="21"/>
          <w:rtl w:val="0"/>
        </w:rPr>
        <w:t xml:space="preserve"> 2026</w:t>
      </w: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 - </w:t>
      </w:r>
      <w:r w:rsidDel="00000000" w:rsidR="00000000" w:rsidRPr="00000000">
        <w:rPr>
          <w:rFonts w:ascii="Titillium Web" w:cs="Titillium Web" w:eastAsia="Titillium Web" w:hAnsi="Titillium Web"/>
          <w:b w:val="1"/>
          <w:bCs w:val="1"/>
          <w:sz w:val="21"/>
          <w:szCs w:val="21"/>
          <w:rtl w:val="0"/>
        </w:rPr>
        <w:t xml:space="preserve">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1"/>
        <w:pBdr>
          <w:bottom w:color="7a1f4b" w:space="2" w:sz="6" w:val="single"/>
        </w:pBdr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A. Dati generali della classe</w:t>
      </w:r>
    </w:p>
    <w:tbl>
      <w:tblPr>
        <w:tblStyle w:val="Table1"/>
        <w:tblW w:w="963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780"/>
        <w:gridCol w:w="5850"/>
        <w:tblGridChange w:id="0">
          <w:tblGrid>
            <w:gridCol w:w="3780"/>
            <w:gridCol w:w="58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Indirizzo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Coordinatore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Tema annuale della classe (dal Curricolo)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Style w:val="Heading1"/>
        <w:keepNext w:val="1"/>
        <w:pBdr>
          <w:bottom w:color="7a1f4b" w:space="2" w:sz="6" w:val="single"/>
        </w:pBdr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B. Riepilogo delle UdA e copertura dei nuclei</w:t>
      </w:r>
    </w:p>
    <w:p w:rsidR="00000000" w:rsidDel="00000000" w:rsidP="00000000" w:rsidRDefault="00000000" w:rsidRPr="00000000" w14:paraId="00000012">
      <w:pPr>
        <w:keepNext w:val="1"/>
        <w:spacing w:after="110" w:before="0" w:line="269" w:lineRule="auto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Elencare tutte le UdA individuate per la classe (schede di sezione C) e gli eventuali interventi disciplinari autonomi (sezione D), verificando che il complesso copra tutti e tre i nuclei.</w:t>
      </w:r>
    </w:p>
    <w:tbl>
      <w:tblPr>
        <w:tblStyle w:val="Table2"/>
        <w:tblW w:w="963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705"/>
        <w:gridCol w:w="3240"/>
        <w:gridCol w:w="1665"/>
        <w:gridCol w:w="1920"/>
        <w:gridCol w:w="1020"/>
        <w:gridCol w:w="1080"/>
        <w:tblGridChange w:id="0">
          <w:tblGrid>
            <w:gridCol w:w="705"/>
            <w:gridCol w:w="3240"/>
            <w:gridCol w:w="1665"/>
            <w:gridCol w:w="1920"/>
            <w:gridCol w:w="1020"/>
            <w:gridCol w:w="108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Titolo UdA / intervento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Nucleo/i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Discipline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Quadr.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110" w:before="100" w:line="269" w:lineRule="auto"/>
        <w:ind w:left="0" w:firstLine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1"/>
        <w:pageBreakBefore w:val="1"/>
        <w:pBdr>
          <w:bottom w:color="7a1f4b" w:space="2" w:sz="6" w:val="single"/>
        </w:pBdr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C. Schede delle Unità di Apprendimento</w:t>
      </w:r>
    </w:p>
    <w:p w:rsidR="00000000" w:rsidDel="00000000" w:rsidP="00000000" w:rsidRDefault="00000000" w:rsidRPr="00000000" w14:paraId="00000039">
      <w:pPr>
        <w:spacing w:after="110" w:before="0" w:line="269" w:lineRule="auto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Compilare una scheda per ciascuna UdA individuata. Duplicare la scheda se la classe prevede più di tre UdA. </w:t>
      </w:r>
    </w:p>
    <w:p w:rsidR="00000000" w:rsidDel="00000000" w:rsidP="00000000" w:rsidRDefault="00000000" w:rsidRPr="00000000" w14:paraId="0000003A">
      <w:pPr>
        <w:spacing w:after="110" w:before="0" w:line="269" w:lineRule="auto"/>
        <w:rPr>
          <w:rFonts w:ascii="Titillium Web" w:cs="Titillium Web" w:eastAsia="Titillium Web" w:hAnsi="Titillium Web"/>
          <w:b w:val="1"/>
          <w:bCs w:val="1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sz w:val="20"/>
          <w:szCs w:val="20"/>
          <w:rtl w:val="0"/>
        </w:rPr>
        <w:t xml:space="preserve">N.B. </w:t>
      </w: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tillium Web" w:cs="Titillium Web" w:eastAsia="Titillium Web" w:hAnsi="Titillium Web"/>
          <w:b w:val="1"/>
          <w:bCs w:val="1"/>
          <w:sz w:val="20"/>
          <w:szCs w:val="20"/>
          <w:rtl w:val="0"/>
        </w:rPr>
        <w:t xml:space="preserve">Il numero delle UdA è variabile e deve essere determinato in relazione ai collegamenti effettivamente individuati tra i contributi disciplinari. Non è necessario ricondurre tutti i contributi a un'unica UdA né predisporre un numero prestabilito di UdA. </w:t>
      </w:r>
    </w:p>
    <w:p w:rsidR="00000000" w:rsidDel="00000000" w:rsidP="00000000" w:rsidRDefault="00000000" w:rsidRPr="00000000" w14:paraId="0000003B">
      <w:pPr>
        <w:pStyle w:val="Heading2"/>
        <w:keepNext w:val="1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UdA n. 1</w:t>
      </w:r>
    </w:p>
    <w:tbl>
      <w:tblPr>
        <w:tblStyle w:val="Table3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200"/>
        <w:gridCol w:w="6438"/>
        <w:tblGridChange w:id="0">
          <w:tblGrid>
            <w:gridCol w:w="3200"/>
            <w:gridCol w:w="643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Contenuto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Titolo della 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Tema/problema centrale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Nucleo/i concettuali coinvolti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Discipline coinvolte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Ore per 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Quadrimestre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Obiettivi/competenze da sviluppare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Attività e metodologie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Prodotto finale o compito di realtà (se previsto)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Modalità di verifica e valutazione (comuni o coordinate tra le discipline)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Raccordi: FSL, orientamento, territorio, esperti (se pertinenti)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Misure per alunni con BES/DSA/disabilità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140" w:lineRule="auto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1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UdA n. 2</w:t>
      </w:r>
    </w:p>
    <w:tbl>
      <w:tblPr>
        <w:tblStyle w:val="Table4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200"/>
        <w:gridCol w:w="6438"/>
        <w:tblGridChange w:id="0">
          <w:tblGrid>
            <w:gridCol w:w="3200"/>
            <w:gridCol w:w="643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Contenuto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Titolo della 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Tema/problema centrale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Nucleo/i concettuali coinvolti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Discipline coinvolte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Ore per 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Quadrimestre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Obiettivi/competenze da sviluppare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Attività e metodologie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Prodotto finale o compito di realtà (se previsto)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Modalità di verifica e valutazione (comuni o coordinate tra le discipline)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Raccordi: FSL, orientamento, territorio, esperti (se pertinenti)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Misure per alunni con BES/DSA/disabilità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140" w:lineRule="auto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keepNext w:val="1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UdA n. 3 (eventuale)</w:t>
      </w:r>
    </w:p>
    <w:tbl>
      <w:tblPr>
        <w:tblStyle w:val="Table5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200"/>
        <w:gridCol w:w="6438"/>
        <w:tblGridChange w:id="0">
          <w:tblGrid>
            <w:gridCol w:w="3200"/>
            <w:gridCol w:w="643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Contenuto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Titolo della 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Tema/problema centrale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Nucleo/i concettuali coinvolti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Discipline coinvolte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Ore per 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Quadrimestre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Obiettivi/competenze da sviluppare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Attività e metodologie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Prodotto finale o compito di realtà (se previsto)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Modalità di verifica e valutazione (comuni o coordinate tra le discipline)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Raccordi: FSL, orientamento, territorio, esperti (se pertinenti)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Misure per alunni con BES/DSA/disabilità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after="140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1"/>
        <w:pBdr>
          <w:bottom w:color="7a1f4b" w:space="2" w:sz="6" w:val="single"/>
        </w:pBdr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D. Contributi disciplinari autonomi (non aggregati)</w:t>
      </w:r>
    </w:p>
    <w:p w:rsidR="00000000" w:rsidDel="00000000" w:rsidP="00000000" w:rsidRDefault="00000000" w:rsidRPr="00000000" w14:paraId="00000090">
      <w:pPr>
        <w:keepNext w:val="1"/>
        <w:spacing w:after="110" w:before="0" w:line="269" w:lineRule="auto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Contributi che, pur risultando coerenti con il tema annuale e con il relativo nucleo di Educazione Civica, non presentano collegamenti interdisciplinari sufficientemente significativi per essere inseriti in una specifica UdA. </w:t>
      </w:r>
    </w:p>
    <w:tbl>
      <w:tblPr>
        <w:tblStyle w:val="Table6"/>
        <w:tblW w:w="966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1500"/>
        <w:gridCol w:w="1305"/>
        <w:gridCol w:w="1200"/>
        <w:gridCol w:w="2340"/>
        <w:gridCol w:w="705"/>
        <w:gridCol w:w="810"/>
        <w:gridCol w:w="1800"/>
        <w:tblGridChange w:id="0">
          <w:tblGrid>
            <w:gridCol w:w="1500"/>
            <w:gridCol w:w="1305"/>
            <w:gridCol w:w="1200"/>
            <w:gridCol w:w="2340"/>
            <w:gridCol w:w="705"/>
            <w:gridCol w:w="810"/>
            <w:gridCol w:w="18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Nucleo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Argomento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Quadr.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e4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keepNext w:val="1"/>
              <w:spacing w:after="40" w:lineRule="auto"/>
              <w:jc w:val="center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sz w:val="20"/>
                <w:szCs w:val="20"/>
                <w:rtl w:val="0"/>
              </w:rPr>
              <w:t xml:space="preserve">Motivo mancata aggregazione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keepNext w:val="1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spacing w:after="40" w:lineRule="auto"/>
              <w:rPr>
                <w:rFonts w:ascii="Titillium Web" w:cs="Titillium Web" w:eastAsia="Titillium Web" w:hAnsi="Titillium We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pStyle w:val="Heading1"/>
        <w:keepNext w:val="1"/>
        <w:pBdr>
          <w:bottom w:color="7a1f4b" w:space="2" w:sz="6" w:val="single"/>
        </w:pBdr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E. Checklist di coerenza complessiva</w:t>
      </w:r>
    </w:p>
    <w:p w:rsidR="00000000" w:rsidDel="00000000" w:rsidP="00000000" w:rsidRDefault="00000000" w:rsidRPr="00000000" w14:paraId="000000AE">
      <w:pPr>
        <w:keepNext w:val="1"/>
        <w:spacing w:after="110" w:before="0" w:line="269" w:lineRule="auto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Da compilare a cura del coordinatore prima della presentazione al Consiglio di classe.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after="0" w:afterAutospacing="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Il percorso complessivo è coerente con il tema annuale della classe.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spacing w:after="0" w:afterAutospacing="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Il percorso complessivo coinvolge, nel suo insieme, tutti e tre i nuclei concettuali.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spacing w:after="0" w:afterAutospacing="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Il percorso è coerente con gli obiettivi di apprendimento previsti dal Curricolo.</w:t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spacing w:after="0" w:afterAutospacing="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Il monte ore complessivo è di 33 ore.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spacing w:after="0" w:afterAutospacing="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Sono rispettate le 6 ore del docente di Diritto e il relativo calendario (Allegato B).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after="0" w:afterAutospacing="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La ripartizione tra le discipline è coerente con il prospetto del Curricolo, salvo compensazioni deliberate dal Consiglio di classe.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spacing w:after="0" w:afterAutospacing="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Le attività sono distribuite in entrambi i quadrimestri.</w:t>
      </w:r>
    </w:p>
    <w:p w:rsidR="00000000" w:rsidDel="00000000" w:rsidP="00000000" w:rsidRDefault="00000000" w:rsidRPr="00000000" w14:paraId="000000B6">
      <w:pPr>
        <w:numPr>
          <w:ilvl w:val="0"/>
          <w:numId w:val="1"/>
        </w:numPr>
        <w:spacing w:after="70" w:before="0" w:line="269" w:lineRule="auto"/>
        <w:ind w:left="720" w:hanging="360"/>
        <w:rPr>
          <w:rFonts w:ascii="Titillium Web" w:cs="Titillium Web" w:eastAsia="Titillium Web" w:hAnsi="Titillium Web"/>
          <w:sz w:val="20"/>
          <w:szCs w:val="20"/>
        </w:rPr>
      </w:pPr>
      <w:r w:rsidDel="00000000" w:rsidR="00000000" w:rsidRPr="00000000">
        <w:rPr>
          <w:rFonts w:ascii="Titillium Web" w:cs="Titillium Web" w:eastAsia="Titillium Web" w:hAnsi="Titillium Web"/>
          <w:sz w:val="20"/>
          <w:szCs w:val="20"/>
          <w:rtl w:val="0"/>
        </w:rPr>
        <w:t xml:space="preserve">Nel triennio, è stata verificata la possibilità di raccordo con FSL e orientamento, evitando sovrapposizioni.</w:t>
      </w:r>
    </w:p>
    <w:p w:rsidR="00000000" w:rsidDel="00000000" w:rsidP="00000000" w:rsidRDefault="00000000" w:rsidRPr="00000000" w14:paraId="000000B7">
      <w:pPr>
        <w:spacing w:after="200" w:before="0" w:line="269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00" w:before="0" w:line="269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Roma, GG-MM-AAAA</w:t>
      </w:r>
    </w:p>
    <w:p w:rsidR="00000000" w:rsidDel="00000000" w:rsidP="00000000" w:rsidRDefault="00000000" w:rsidRPr="00000000" w14:paraId="000000B9">
      <w:pPr>
        <w:spacing w:line="200" w:lineRule="auto"/>
        <w:ind w:left="7795.275590551181" w:firstLine="0"/>
        <w:rPr>
          <w:rFonts w:ascii="Titillium Web" w:cs="Titillium Web" w:eastAsia="Titillium Web" w:hAnsi="Titillium Web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84" w:lineRule="auto"/>
        <w:ind w:left="5952.755905511812" w:right="863.7401574803164" w:firstLine="0"/>
        <w:jc w:val="center"/>
        <w:rPr>
          <w:rFonts w:ascii="Titillium Web" w:cs="Titillium Web" w:eastAsia="Titillium Web" w:hAnsi="Titillium Web"/>
          <w:b w:val="1"/>
          <w:bCs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sz w:val="22"/>
          <w:szCs w:val="22"/>
          <w:rtl w:val="0"/>
        </w:rPr>
        <w:t xml:space="preserve">Il Coordinatore di Classe</w:t>
      </w:r>
    </w:p>
    <w:p w:rsidR="00000000" w:rsidDel="00000000" w:rsidP="00000000" w:rsidRDefault="00000000" w:rsidRPr="00000000" w14:paraId="000000BB">
      <w:pPr>
        <w:spacing w:line="200" w:lineRule="auto"/>
        <w:ind w:left="5952.755905511812" w:right="863.7401574803164" w:firstLine="0"/>
        <w:jc w:val="center"/>
        <w:rPr>
          <w:rFonts w:ascii="Titillium Web" w:cs="Titillium Web" w:eastAsia="Titillium Web" w:hAnsi="Titillium Web"/>
          <w:b w:val="1"/>
          <w:bCs w:val="1"/>
          <w:i w:val="1"/>
          <w:iCs w:val="1"/>
          <w:sz w:val="6"/>
          <w:szCs w:val="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i w:val="1"/>
          <w:iCs w:val="1"/>
          <w:sz w:val="22"/>
          <w:szCs w:val="22"/>
          <w:rtl w:val="0"/>
        </w:rPr>
        <w:t xml:space="preserve">Prof.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00" w:lineRule="auto"/>
        <w:ind w:left="5952.755905511812" w:right="863.7401574803164" w:firstLine="0"/>
        <w:jc w:val="center"/>
        <w:rPr>
          <w:rFonts w:ascii="Titillium Web" w:cs="Titillium Web" w:eastAsia="Titillium Web" w:hAnsi="Titillium Web"/>
          <w:b w:val="1"/>
          <w:bCs w:val="1"/>
          <w:i w:val="1"/>
          <w:i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00" w:lineRule="auto"/>
        <w:ind w:left="5952.755905511812" w:right="863.7401574803164" w:firstLine="0"/>
        <w:jc w:val="center"/>
        <w:rPr>
          <w:rFonts w:ascii="Titillium Web" w:cs="Titillium Web" w:eastAsia="Titillium Web" w:hAnsi="Titillium Web"/>
          <w:sz w:val="17"/>
          <w:szCs w:val="17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sz w:val="17"/>
          <w:szCs w:val="17"/>
          <w:highlight w:val="white"/>
          <w:rtl w:val="0"/>
        </w:rPr>
        <w:t xml:space="preserve">Firma autografa sostituita a mezzo </w:t>
      </w:r>
    </w:p>
    <w:p w:rsidR="00000000" w:rsidDel="00000000" w:rsidP="00000000" w:rsidRDefault="00000000" w:rsidRPr="00000000" w14:paraId="000000BE">
      <w:pPr>
        <w:spacing w:line="200" w:lineRule="auto"/>
        <w:ind w:left="5952.755905511812" w:right="863.7401574803164" w:firstLine="0"/>
        <w:jc w:val="center"/>
        <w:rPr>
          <w:rFonts w:ascii="Titillium Web" w:cs="Titillium Web" w:eastAsia="Titillium Web" w:hAnsi="Titillium Web"/>
          <w:sz w:val="17"/>
          <w:szCs w:val="17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sz w:val="17"/>
          <w:szCs w:val="17"/>
          <w:highlight w:val="white"/>
          <w:rtl w:val="0"/>
        </w:rPr>
        <w:t xml:space="preserve">stampa  ai sensi dell'art. 3, comma del </w:t>
      </w:r>
    </w:p>
    <w:p w:rsidR="00000000" w:rsidDel="00000000" w:rsidP="00000000" w:rsidRDefault="00000000" w:rsidRPr="00000000" w14:paraId="000000BF">
      <w:pPr>
        <w:spacing w:line="200" w:lineRule="auto"/>
        <w:ind w:left="5952.755905511812" w:right="863.7401574803164" w:firstLine="0"/>
        <w:jc w:val="center"/>
        <w:rPr>
          <w:rFonts w:ascii="Titillium Web" w:cs="Titillium Web" w:eastAsia="Titillium Web" w:hAnsi="Titillium Web"/>
          <w:b w:val="1"/>
          <w:bCs w:val="1"/>
          <w:sz w:val="24"/>
          <w:szCs w:val="24"/>
        </w:rPr>
      </w:pPr>
      <w:r w:rsidDel="00000000" w:rsidR="00000000" w:rsidRPr="00000000">
        <w:rPr>
          <w:rFonts w:ascii="Titillium Web" w:cs="Titillium Web" w:eastAsia="Titillium Web" w:hAnsi="Titillium Web"/>
          <w:sz w:val="17"/>
          <w:szCs w:val="17"/>
          <w:highlight w:val="white"/>
          <w:rtl w:val="0"/>
        </w:rPr>
        <w:t xml:space="preserve">D.L. 39/93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200" w:before="0" w:line="269" w:lineRule="auto"/>
        <w:ind w:left="5952.755905511812" w:firstLine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110" w:before="0" w:line="269" w:lineRule="auto"/>
        <w:rPr>
          <w:rFonts w:ascii="Titillium Web" w:cs="Titillium Web" w:eastAsia="Titillium Web" w:hAnsi="Titillium Web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110" w:before="0" w:line="269" w:lineRule="auto"/>
        <w:jc w:val="center"/>
        <w:rPr>
          <w:rFonts w:ascii="Titillium Web" w:cs="Titillium Web" w:eastAsia="Titillium Web" w:hAnsi="Titillium Web"/>
          <w:b w:val="1"/>
          <w:bCs w:val="1"/>
          <w:sz w:val="23"/>
          <w:szCs w:val="23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Proposta condivisa e approvata durante la seduta del Consiglio di Classe in data GG-MM-AA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200" w:top="1300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tillium Web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tillium Web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jc w:val="center"/>
      <w:rPr>
        <w:rFonts w:ascii="Titillium Web" w:cs="Titillium Web" w:eastAsia="Titillium Web" w:hAnsi="Titillium Web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jc w:val="right"/>
      <w:rPr>
        <w:rFonts w:ascii="Titillium Web SemiBold" w:cs="Titillium Web SemiBold" w:eastAsia="Titillium Web SemiBold" w:hAnsi="Titillium Web SemiBold"/>
      </w:rPr>
    </w:pPr>
    <w:r w:rsidDel="00000000" w:rsidR="00000000" w:rsidRPr="00000000">
      <w:rPr>
        <w:rFonts w:ascii="Titillium Web SemiBold" w:cs="Titillium Web SemiBold" w:eastAsia="Titillium Web SemiBold" w:hAnsi="Titillium Web SemiBold"/>
        <w:sz w:val="16"/>
        <w:szCs w:val="16"/>
        <w:rtl w:val="0"/>
      </w:rPr>
      <w:t xml:space="preserve">I.I.S. “Guglielmo Marconi” – UdA di Educazione Civica – a.s. 2026-2027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-492914</wp:posOffset>
          </wp:positionH>
          <wp:positionV relativeFrom="paragraph">
            <wp:posOffset>-133349</wp:posOffset>
          </wp:positionV>
          <wp:extent cx="7105836" cy="186349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0705" l="5556" r="6818" t="3059"/>
                  <a:stretch>
                    <a:fillRect/>
                  </a:stretch>
                </pic:blipFill>
                <pic:spPr>
                  <a:xfrm>
                    <a:off x="0" y="0"/>
                    <a:ext cx="7105836" cy="18634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4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7a1f4b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7a1f4b"/>
      <w:sz w:val="23"/>
      <w:szCs w:val="23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SemiBold-regular.ttf"/><Relationship Id="rId2" Type="http://schemas.openxmlformats.org/officeDocument/2006/relationships/font" Target="fonts/TitilliumWebSemiBold-bold.ttf"/><Relationship Id="rId3" Type="http://schemas.openxmlformats.org/officeDocument/2006/relationships/font" Target="fonts/TitilliumWebSemiBold-italic.ttf"/><Relationship Id="rId4" Type="http://schemas.openxmlformats.org/officeDocument/2006/relationships/font" Target="fonts/TitilliumWebSemiBold-boldItalic.ttf"/><Relationship Id="rId5" Type="http://schemas.openxmlformats.org/officeDocument/2006/relationships/font" Target="fonts/TitilliumWeb-regular.ttf"/><Relationship Id="rId6" Type="http://schemas.openxmlformats.org/officeDocument/2006/relationships/font" Target="fonts/TitilliumWeb-bold.ttf"/><Relationship Id="rId7" Type="http://schemas.openxmlformats.org/officeDocument/2006/relationships/font" Target="fonts/TitilliumWeb-italic.ttf"/><Relationship Id="rId8" Type="http://schemas.openxmlformats.org/officeDocument/2006/relationships/font" Target="fonts/TitilliumWeb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0VbhtzAZYyUVf4XmEKUiwmqcyg==">CgMxLjA4AHIhMU1MZHAxYXhvaGR3dUVCUHdlTUNobWVpZlBjbDdVVFpz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2026-09-22T13:00:47.905Z</dcterms:created>
  <dc:creator>I.I.S. G. Marconi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